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Wearable Validation Study Plan &amp; Statistical Analysis Plan (SAP): Template</w:t>
      </w:r>
    </w:p>
    <w:p>
      <w:r>
        <w:rPr>
          <w:i/>
        </w:rPr>
        <w:t>Palo Alto Health Labs, paloaltohealthlabs.com. Educational template only, not regulatory advice. Replace bracketed text. Structure follows DiMe's V3/V3+ framework ([V3](https://www.nature.com/articles/s41746-020-0260-4); [V3+](https://www.nature.com/articles/s41746-024-01322-2)).</w:t>
      </w:r>
    </w:p>
    <w:p>
      <w:pPr>
        <w:pStyle w:val="Heading1"/>
      </w:pPr>
      <w:r>
        <w:t>Part A: Study Plan (Protocol)</w:t>
      </w:r>
    </w:p>
    <w:p>
      <w:pPr>
        <w:pStyle w:val="Heading2"/>
      </w:pPr>
      <w:r>
        <w:t>A1. Administrative</w:t>
      </w:r>
    </w:p>
    <w:p>
      <w:pPr>
        <w:pStyle w:val="ListBullet"/>
      </w:pPr>
      <w:r>
        <w:t>Title, protocol ID, version and date, sponsor, principal investigator, sites</w:t>
      </w:r>
    </w:p>
    <w:p>
      <w:pPr>
        <w:pStyle w:val="ListBullet"/>
      </w:pPr>
      <w:r>
        <w:t>Version history table</w:t>
      </w:r>
    </w:p>
    <w:p>
      <w:pPr>
        <w:pStyle w:val="Heading2"/>
      </w:pPr>
      <w:r>
        <w:t>A2. Background and rationale</w:t>
      </w:r>
    </w:p>
    <w:p>
      <w:pPr>
        <w:pStyle w:val="ListBullet"/>
      </w:pPr>
      <w:r>
        <w:t>Clinical or research need; what the metric enables</w:t>
      </w:r>
    </w:p>
    <w:p>
      <w:pPr>
        <w:pStyle w:val="ListBullet"/>
      </w:pPr>
      <w:r>
        <w:t>Prior evidence (verification, earlier validation, literature)</w:t>
      </w:r>
    </w:p>
    <w:p>
      <w:pPr>
        <w:pStyle w:val="Heading2"/>
      </w:pPr>
      <w:r>
        <w:t>A3. Intended use and context of use</w:t>
      </w:r>
    </w:p>
    <w:p>
      <w:pPr>
        <w:pStyle w:val="ListBullet"/>
      </w:pPr>
      <w:r>
        <w:t>Measure or metric definition (concept of interest → measure → algorithm output)</w:t>
      </w:r>
    </w:p>
    <w:p>
      <w:pPr>
        <w:pStyle w:val="ListBullet"/>
      </w:pPr>
      <w:r>
        <w:t>Target population, setting (clinic, home, free-living), and the decision it supports</w:t>
      </w:r>
    </w:p>
    <w:p>
      <w:pPr>
        <w:pStyle w:val="ListBullet"/>
      </w:pPr>
      <w:r>
        <w:t>Claim tier: wellness / digital endpoint / SaMD or medical claim / payer evidence</w:t>
      </w:r>
    </w:p>
    <w:p>
      <w:pPr>
        <w:pStyle w:val="Heading2"/>
      </w:pPr>
      <w:r>
        <w:t>A4. Objectives and V3+ scope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V3+ component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Covered in this study?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Objective</w:t>
            </w:r>
          </w:p>
        </w:tc>
      </w:tr>
      <w:tr>
        <w:tc>
          <w:tcPr>
            <w:tcW w:type="dxa" w:w="2880"/>
          </w:tcPr>
          <w:p>
            <w:r/>
            <w:r>
              <w:t>Verification</w:t>
            </w:r>
          </w:p>
        </w:tc>
        <w:tc>
          <w:tcPr>
            <w:tcW w:type="dxa" w:w="2880"/>
          </w:tcPr>
          <w:p>
            <w:r/>
            <w:r>
              <w:t>[Y/N; reference bench report]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t>Analytical validation</w:t>
            </w:r>
          </w:p>
        </w:tc>
        <w:tc>
          <w:tcPr>
            <w:tcW w:type="dxa" w:w="2880"/>
          </w:tcPr>
          <w:p>
            <w:r/>
            <w:r>
              <w:t>[Y/N]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t>Clinical validation</w:t>
            </w:r>
          </w:p>
        </w:tc>
        <w:tc>
          <w:tcPr>
            <w:tcW w:type="dxa" w:w="2880"/>
          </w:tcPr>
          <w:p>
            <w:r/>
            <w:r>
              <w:t>[Y/N]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  <w:r>
              <w:t>Usability validation</w:t>
            </w:r>
          </w:p>
        </w:tc>
        <w:tc>
          <w:tcPr>
            <w:tcW w:type="dxa" w:w="2880"/>
          </w:tcPr>
          <w:p>
            <w:r/>
            <w:r>
              <w:t>[Y/N]</w:t>
            </w:r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t>A5. Device and algorithm</w:t>
      </w:r>
    </w:p>
    <w:p>
      <w:pPr>
        <w:pStyle w:val="ListBullet"/>
      </w:pPr>
      <w:r>
        <w:t xml:space="preserve">Hardware model, firmware, app, algorithm version (all </w:t>
      </w:r>
      <w:r>
        <w:rPr>
          <w:b/>
        </w:rPr>
        <w:t>locked</w:t>
      </w:r>
      <w:r>
        <w:t xml:space="preserve"> for the study)</w:t>
      </w:r>
    </w:p>
    <w:p>
      <w:pPr>
        <w:pStyle w:val="ListBullet"/>
      </w:pPr>
      <w:r>
        <w:t>Sensor placement, sampling rate, data export format (raw vs. summary)</w:t>
      </w:r>
    </w:p>
    <w:p>
      <w:pPr>
        <w:pStyle w:val="Heading2"/>
      </w:pPr>
      <w:r>
        <w:t>A6. Reference standard</w:t>
      </w:r>
    </w:p>
    <w:p>
      <w:pPr>
        <w:pStyle w:val="ListBullet"/>
      </w:pPr>
      <w:r>
        <w:t>Reference device or method and its regulatory or validation status. Examples: ECG patch or Holter for HR/rhythm; PSG for sleep; clinical EEG for neuro signals; arterial SaO2 for SpO2</w:t>
      </w:r>
    </w:p>
    <w:p>
      <w:pPr>
        <w:pStyle w:val="ListBullet"/>
      </w:pPr>
      <w:r>
        <w:t>Applicable standard (e.g., ANSI/CTA-2065-A, ISO 81060-2, FDA guidance)</w:t>
      </w:r>
    </w:p>
    <w:p>
      <w:pPr>
        <w:pStyle w:val="ListBullet"/>
      </w:pPr>
      <w:r>
        <w:t>Time synchronization method and tolerance</w:t>
      </w:r>
    </w:p>
    <w:p>
      <w:pPr>
        <w:pStyle w:val="ListBullet"/>
      </w:pPr>
      <w:r>
        <w:t>Reference-scoring procedure (e.g., blinded scorer(s), inter-rater agreement)</w:t>
      </w:r>
    </w:p>
    <w:p>
      <w:pPr>
        <w:pStyle w:val="Heading2"/>
      </w:pPr>
      <w:r>
        <w:t>A7. Study population</w:t>
      </w:r>
    </w:p>
    <w:p>
      <w:pPr>
        <w:pStyle w:val="ListBullet"/>
      </w:pPr>
      <w:r>
        <w:t>Inclusion and exclusion criteria</w:t>
      </w:r>
    </w:p>
    <w:p>
      <w:pPr>
        <w:pStyle w:val="ListBullet"/>
      </w:pPr>
      <w:r>
        <w:t>Diversity targets and how they're measured:</w:t>
      </w:r>
    </w:p>
    <w:p>
      <w:pPr>
        <w:pStyle w:val="ListBullet"/>
      </w:pPr>
      <w:r>
        <w:t xml:space="preserve">Skin tone: Monk Skin Tone </w:t>
      </w:r>
      <w:r>
        <w:rPr>
          <w:b/>
        </w:rPr>
        <w:t>and</w:t>
      </w:r>
      <w:r>
        <w:t xml:space="preserve"> Individual Typology Angle (ITA) at the sensor site</w:t>
      </w:r>
    </w:p>
    <w:p>
      <w:pPr>
        <w:pStyle w:val="ListBullet"/>
      </w:pPr>
      <w:r>
        <w:t>Age bands; sex; BMI; relevant clinical conditions; wrist or anatomy factors</w:t>
      </w:r>
    </w:p>
    <w:p>
      <w:pPr>
        <w:pStyle w:val="ListBullet"/>
      </w:pPr>
      <w:r>
        <w:t>Recruitment plan and screening log</w:t>
      </w:r>
    </w:p>
    <w:p>
      <w:pPr>
        <w:pStyle w:val="Heading2"/>
      </w:pPr>
      <w:r>
        <w:t>A8. Procedures</w:t>
      </w:r>
    </w:p>
    <w:p>
      <w:pPr>
        <w:pStyle w:val="ListBullet"/>
      </w:pPr>
      <w:r>
        <w:t>Visit schedule; protocol segments (rest, scripted activities, free-living, sleep)</w:t>
      </w:r>
    </w:p>
    <w:p>
      <w:pPr>
        <w:pStyle w:val="ListBullet"/>
      </w:pPr>
      <w:r>
        <w:t>Device fitting, wear instructions, adherence monitoring</w:t>
      </w:r>
    </w:p>
    <w:p>
      <w:pPr>
        <w:pStyle w:val="ListBullet"/>
      </w:pPr>
      <w:r>
        <w:t>Usability tasks and data collection (if V3+ usability is in scope)</w:t>
      </w:r>
    </w:p>
    <w:p>
      <w:pPr>
        <w:pStyle w:val="Heading2"/>
      </w:pPr>
      <w:r>
        <w:t>A9. Endpoints</w:t>
      </w:r>
    </w:p>
    <w:p>
      <w:pPr>
        <w:pStyle w:val="ListBullet"/>
      </w:pPr>
      <w:r>
        <w:t>Primary endpoint (e.g., agreement of HR with the ECG reference in 30-s epochs)</w:t>
      </w:r>
    </w:p>
    <w:p>
      <w:pPr>
        <w:pStyle w:val="ListBullet"/>
      </w:pPr>
      <w:r>
        <w:t>Secondary endpoints (subgroups, activity conditions, detection accuracy)</w:t>
      </w:r>
    </w:p>
    <w:p>
      <w:pPr>
        <w:pStyle w:val="ListBullet"/>
      </w:pPr>
      <w:r>
        <w:t>Prespecified acceptance criteria</w:t>
      </w:r>
    </w:p>
    <w:p>
      <w:pPr>
        <w:pStyle w:val="Heading2"/>
      </w:pPr>
      <w:r>
        <w:t>A10. Safety, ethics and regulatory</w:t>
      </w:r>
    </w:p>
    <w:p>
      <w:pPr>
        <w:pStyle w:val="ListBullet"/>
      </w:pPr>
      <w:r>
        <w:t>IRB, informed consent or eConsent, data privacy (HIPAA/GDPR as applicable)</w:t>
      </w:r>
    </w:p>
    <w:p>
      <w:pPr>
        <w:pStyle w:val="ListBullet"/>
      </w:pPr>
      <w:r>
        <w:t>Adverse events / device issues reporting</w:t>
      </w:r>
    </w:p>
    <w:p>
      <w:pPr>
        <w:pStyle w:val="ListBullet"/>
      </w:pPr>
      <w:r>
        <w:t>Electronic records and signatures (21 CFR Part 11 where applicable)</w:t>
      </w:r>
    </w:p>
    <w:p>
      <w:pPr>
        <w:pStyle w:val="Heading2"/>
      </w:pPr>
      <w:r>
        <w:t>A11. Data management</w:t>
      </w:r>
    </w:p>
    <w:p>
      <w:pPr>
        <w:pStyle w:val="ListBullet"/>
      </w:pPr>
      <w:r>
        <w:t>Data flow diagram; storage; de-identification; audit trail; data lock procedure</w:t>
      </w:r>
    </w:p>
    <w:p>
      <w:pPr>
        <w:pStyle w:val="Heading2"/>
      </w:pPr>
      <w:r>
        <w:t>A12. Publication and reporting plan</w:t>
      </w:r>
    </w:p>
    <w:p>
      <w:pPr>
        <w:pStyle w:val="Heading1"/>
      </w:pPr>
      <w:r>
        <w:t>Part B: Statistical Analysis Plan (SAP)</w:t>
      </w:r>
    </w:p>
    <w:p>
      <w:pPr>
        <w:pStyle w:val="Heading2"/>
      </w:pPr>
      <w:r>
        <w:t>B1. Analysis populations</w:t>
      </w:r>
    </w:p>
    <w:p>
      <w:pPr>
        <w:pStyle w:val="ListBullet"/>
      </w:pPr>
      <w:r>
        <w:t>Enrolled; per-protocol; valid-epoch definitions (signal quality, wear time)</w:t>
      </w:r>
    </w:p>
    <w:p>
      <w:pPr>
        <w:pStyle w:val="Heading2"/>
      </w:pPr>
      <w:r>
        <w:t>B2. Data preprocessing</w:t>
      </w:r>
    </w:p>
    <w:p>
      <w:pPr>
        <w:pStyle w:val="ListBullet"/>
      </w:pPr>
      <w:r>
        <w:t>Epoch length; alignment to the reference; artifact and signal-quality rules</w:t>
      </w:r>
    </w:p>
    <w:p>
      <w:pPr>
        <w:pStyle w:val="ListBullet"/>
      </w:pPr>
      <w:r>
        <w:t>Handling of non-wear and missing data (prespecified, not post hoc)</w:t>
      </w:r>
    </w:p>
    <w:p>
      <w:pPr>
        <w:pStyle w:val="Heading2"/>
      </w:pPr>
      <w:r>
        <w:t>B3. Primary analysis: agreement (continuous measures)</w:t>
      </w:r>
    </w:p>
    <w:p>
      <w:pPr>
        <w:pStyle w:val="ListBullet"/>
      </w:pPr>
      <w:r>
        <w:t>Bland-Altman: bias, 95% limits of agreement and their CIs, accounting for repeated measures per participant</w:t>
      </w:r>
    </w:p>
    <w:p>
      <w:pPr>
        <w:pStyle w:val="ListBullet"/>
      </w:pPr>
      <w:r>
        <w:t>Error metrics: MAE, MAPE, RMSE; correlation (secondary only, not proof of agreement)</w:t>
      </w:r>
    </w:p>
    <w:p>
      <w:pPr>
        <w:pStyle w:val="ListBullet"/>
      </w:pPr>
      <w:r>
        <w:t>Acceptance criteria: [thresholds and their justification]</w:t>
      </w:r>
    </w:p>
    <w:p>
      <w:pPr>
        <w:pStyle w:val="Heading2"/>
      </w:pPr>
      <w:r>
        <w:t>B4. Classification / detection analyses (if applicable)</w:t>
      </w:r>
    </w:p>
    <w:p>
      <w:pPr>
        <w:pStyle w:val="ListBullet"/>
      </w:pPr>
      <w:r>
        <w:t>Sensitivity, specificity, PPV, NPV with 95% CIs; ROC curve and AUC</w:t>
      </w:r>
    </w:p>
    <w:p>
      <w:pPr>
        <w:pStyle w:val="ListBullet"/>
      </w:pPr>
      <w:r>
        <w:t>Operating threshold: prespecified, or chosen on a development set and locked</w:t>
      </w:r>
    </w:p>
    <w:p>
      <w:pPr>
        <w:pStyle w:val="ListBullet"/>
      </w:pPr>
      <w:r>
        <w:t>Unit of analysis (epoch, episode, participant), with clustering addressed</w:t>
      </w:r>
    </w:p>
    <w:p>
      <w:pPr>
        <w:pStyle w:val="Heading2"/>
      </w:pPr>
      <w:r>
        <w:t>B5. Subgroup analyses (prespecified)</w:t>
      </w:r>
    </w:p>
    <w:p>
      <w:pPr>
        <w:pStyle w:val="ListBullet"/>
      </w:pPr>
      <w:r>
        <w:t>Skin tone (MST group / ITA category), age band, sex, BMI, activity condition, clinical status</w:t>
      </w:r>
    </w:p>
    <w:p>
      <w:pPr>
        <w:pStyle w:val="ListBullet"/>
      </w:pPr>
      <w:r>
        <w:t>Interaction tests or stratified estimates; minimum n per subgroup</w:t>
      </w:r>
    </w:p>
    <w:p>
      <w:pPr>
        <w:pStyle w:val="Heading2"/>
      </w:pPr>
      <w:r>
        <w:t>B6. Sample size</w:t>
      </w:r>
    </w:p>
    <w:p>
      <w:pPr>
        <w:pStyle w:val="ListBullet"/>
      </w:pPr>
      <w:r>
        <w:t>Precision-based: target CI width on the LoA or on sensitivity/specificity, overall and per key subgroup</w:t>
      </w:r>
    </w:p>
    <w:p>
      <w:pPr>
        <w:pStyle w:val="ListBullet"/>
      </w:pPr>
      <w:r>
        <w:t>Assumptions, source of variance estimates, inflation for dropout and unusable data</w:t>
      </w:r>
    </w:p>
    <w:p>
      <w:pPr>
        <w:pStyle w:val="Heading2"/>
      </w:pPr>
      <w:r>
        <w:t>B7. Sensitivity analyses</w:t>
      </w:r>
    </w:p>
    <w:p>
      <w:pPr>
        <w:pStyle w:val="ListBullet"/>
      </w:pPr>
      <w:r>
        <w:t>Alternative quality thresholds; per-participant averaged analysis; excluding the first/last epochs</w:t>
      </w:r>
    </w:p>
    <w:p>
      <w:pPr>
        <w:pStyle w:val="Heading2"/>
      </w:pPr>
      <w:r>
        <w:t>B8. Usability analysis (if applicable)</w:t>
      </w:r>
    </w:p>
    <w:p>
      <w:pPr>
        <w:pStyle w:val="ListBullet"/>
      </w:pPr>
      <w:r>
        <w:t>Task success, use errors, close calls; qualitative root-cause analysis</w:t>
      </w:r>
    </w:p>
    <w:p>
      <w:pPr>
        <w:pStyle w:val="Heading2"/>
      </w:pPr>
      <w:r>
        <w:t>B9. Software, versioning and reproducibility</w:t>
      </w:r>
    </w:p>
    <w:p>
      <w:pPr>
        <w:pStyle w:val="ListBullet"/>
      </w:pPr>
      <w:r>
        <w:t>Analysis code repository, package versions, locked analysis scripts before unblinding</w:t>
      </w:r>
    </w:p>
    <w:p>
      <w:pPr>
        <w:pStyle w:val="Heading2"/>
      </w:pPr>
      <w:r>
        <w:t>B10. Tables and figures shells</w:t>
      </w:r>
    </w:p>
    <w:p>
      <w:pPr>
        <w:pStyle w:val="ListBullet"/>
      </w:pPr>
      <w:r>
        <w:t>Participant flow; demographics by subgroup; Bland-Altman plot; ROC curve; subgroup forest plot</w:t>
      </w:r>
    </w:p>
    <w:p>
      <w:r>
        <w:rPr>
          <w:i/>
        </w:rPr>
        <w:t>Need help tailoring this? Book a free 30-minute scoping call at [paloaltohealthlabs.com](https://paloaltohealthlabs.com/).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Wearable Validation Study Plan &amp; SAP Template</dc:title>
  <dc:subject/>
  <dc:creator>Palo Alto Health Labs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