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Medical Data Annotation Guideline Template</w:t>
      </w:r>
    </w:p>
    <w:p>
      <w:r>
        <w:t>Palo Alto Health Labs. Template, version 1.0 (Oct 27, 2026). Replace every [bracketed] field. This template is not regulatory advice.</w:t>
      </w:r>
    </w:p>
    <w:p>
      <w:pPr>
        <w:pStyle w:val="Heading1"/>
      </w:pPr>
      <w:r>
        <w:t>1. Scope and intended use</w:t>
      </w:r>
    </w:p>
    <w:p>
      <w:pPr>
        <w:pStyle w:val="ListBullet"/>
      </w:pPr>
      <w:r>
        <w:t>Dataset name and version: [ ]</w:t>
      </w:r>
    </w:p>
    <w:p>
      <w:pPr>
        <w:pStyle w:val="ListBullet"/>
      </w:pPr>
      <w:r>
        <w:t>Intended use of the model the data supports: [ ]</w:t>
      </w:r>
    </w:p>
    <w:p>
      <w:pPr>
        <w:pStyle w:val="ListBullet"/>
      </w:pPr>
      <w:r>
        <w:t>Target population and care setting: [ ]</w:t>
      </w:r>
    </w:p>
    <w:p>
      <w:pPr>
        <w:pStyle w:val="ListBullet"/>
      </w:pPr>
      <w:r>
        <w:t>Data types (e.g., images, signals, notes): [ ]</w:t>
      </w:r>
    </w:p>
    <w:p>
      <w:pPr>
        <w:pStyle w:val="Heading1"/>
      </w:pPr>
      <w:r>
        <w:t>2. Reference standard</w:t>
      </w:r>
    </w:p>
    <w:p>
      <w:r>
        <w:t>GMLP principle 5 (2021 wording): "Accepted, best available methods for developing a reference dataset (that is, a reference standard) ensure that clinically relevant and well characterized data are collected and the limitations of the reference are understood."</w:t>
      </w:r>
    </w:p>
    <w:p>
      <w:pPr>
        <w:pStyle w:val="ListBullet"/>
      </w:pPr>
      <w:r>
        <w:t>What defines ground truth (expert read, test result, follow-up outcome): [ ]</w:t>
      </w:r>
    </w:p>
    <w:p>
      <w:pPr>
        <w:pStyle w:val="ListBullet"/>
      </w:pPr>
      <w:r>
        <w:t>Who sets it, and their qualifications: [ ]</w:t>
      </w:r>
    </w:p>
    <w:p>
      <w:pPr>
        <w:pStyle w:val="ListBullet"/>
      </w:pPr>
      <w:r>
        <w:t>Governing scoring manual, cited by name (e.g., AASM scoring manual): [ ]</w:t>
      </w:r>
    </w:p>
    <w:p>
      <w:pPr>
        <w:pStyle w:val="ListBullet"/>
      </w:pPr>
      <w:r>
        <w:t>Known limitations of the reference standard: [ ]</w:t>
      </w:r>
    </w:p>
    <w:p>
      <w:pPr>
        <w:pStyle w:val="Heading1"/>
      </w:pPr>
      <w:r>
        <w:t>3. Data provenance and splits</w:t>
      </w:r>
    </w:p>
    <w:p>
      <w:r>
        <w:t>GMLP principle 4 (2021 wording): training and test sets "are selected and maintained to be appropriately independent," considering "patient, data acquisition, and site factors."</w:t>
      </w:r>
    </w:p>
    <w:p>
      <w:pPr>
        <w:pStyle w:val="ListBullet"/>
      </w:pPr>
      <w:r>
        <w:t>Fields recorded per item: patient ID (pseudonymized), site, device or acquisition source, date: [ ]</w:t>
      </w:r>
    </w:p>
    <w:p>
      <w:pPr>
        <w:pStyle w:val="ListBullet"/>
      </w:pPr>
      <w:r>
        <w:t>Split rule (by patient / by site / by time): [ ]</w:t>
      </w:r>
    </w:p>
    <w:p>
      <w:pPr>
        <w:pStyle w:val="ListBullet"/>
      </w:pPr>
      <w:r>
        <w:t>How leakage between splits is prevented and checked: [ ]</w:t>
      </w:r>
    </w:p>
    <w:p>
      <w:pPr>
        <w:pStyle w:val="Heading1"/>
      </w:pPr>
      <w:r>
        <w:t>4. Population coverage</w:t>
      </w:r>
    </w:p>
    <w:p>
      <w:r>
        <w:t>GMLP principle 3 (2021 wording): data should represent "the relevant characteristics of the intended patient population (e.g., age, gender, sex, race, and ethnicity), use, and measurement inputs."</w:t>
      </w:r>
    </w:p>
    <w:p>
      <w:pPr>
        <w:pStyle w:val="ListBullet"/>
      </w:pPr>
      <w:r>
        <w:t>Demographics logged: [ ]</w:t>
      </w:r>
    </w:p>
    <w:p>
      <w:pPr>
        <w:pStyle w:val="ListBullet"/>
      </w:pPr>
      <w:r>
        <w:t>Use conditions and measurement inputs logged: [ ]</w:t>
      </w:r>
    </w:p>
    <w:p>
      <w:pPr>
        <w:pStyle w:val="ListBullet"/>
      </w:pPr>
      <w:r>
        <w:t>Target vs. achieved distribution, and gaps: [ ]</w:t>
      </w:r>
    </w:p>
    <w:p>
      <w:pPr>
        <w:pStyle w:val="Heading1"/>
      </w:pPr>
      <w:r>
        <w:t>5. Annotators</w:t>
      </w:r>
    </w:p>
    <w:p>
      <w:pPr>
        <w:pStyle w:val="ListBullet"/>
      </w:pPr>
      <w:r>
        <w:t>Roles (primary annotator, reviewer, adjudicator): [ ]</w:t>
      </w:r>
    </w:p>
    <w:p>
      <w:pPr>
        <w:pStyle w:val="ListBullet"/>
      </w:pPr>
      <w:r>
        <w:t>Required qualifications and training: [ ]</w:t>
      </w:r>
    </w:p>
    <w:p>
      <w:pPr>
        <w:pStyle w:val="ListBullet"/>
      </w:pPr>
      <w:r>
        <w:t>Calibration set and pass criterion before live labeling: [ ]</w:t>
      </w:r>
    </w:p>
    <w:p>
      <w:pPr>
        <w:pStyle w:val="ListBullet"/>
      </w:pPr>
      <w:r>
        <w:t>Blinding (to other annotators, to model output, to clinical data): [ ]</w:t>
      </w:r>
    </w:p>
    <w:p>
      <w:pPr>
        <w:pStyle w:val="Heading1"/>
      </w:pPr>
      <w:r>
        <w:t>6. Label definitions and rules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Label</w:t>
            </w:r>
          </w:p>
        </w:tc>
        <w:tc>
          <w:tcPr>
            <w:tcW w:type="dxa" w:w="1728"/>
          </w:tcPr>
          <w:p>
            <w:r>
              <w:t>Definition</w:t>
            </w:r>
          </w:p>
        </w:tc>
        <w:tc>
          <w:tcPr>
            <w:tcW w:type="dxa" w:w="1728"/>
          </w:tcPr>
          <w:p>
            <w:r>
              <w:t>Include when</w:t>
            </w:r>
          </w:p>
        </w:tc>
        <w:tc>
          <w:tcPr>
            <w:tcW w:type="dxa" w:w="1728"/>
          </w:tcPr>
          <w:p>
            <w:r>
              <w:t>Exclude when</w:t>
            </w:r>
          </w:p>
        </w:tc>
        <w:tc>
          <w:tcPr>
            <w:tcW w:type="dxa" w:w="1728"/>
          </w:tcPr>
          <w:p>
            <w:r>
              <w:t>Example ID</w:t>
            </w:r>
          </w:p>
        </w:tc>
      </w:tr>
      <w:tr>
        <w:tc>
          <w:tcPr>
            <w:tcW w:type="dxa" w:w="1728"/>
          </w:tcPr>
          <w:p>
            <w:r>
              <w:t>[ ]</w:t>
            </w:r>
          </w:p>
        </w:tc>
        <w:tc>
          <w:tcPr>
            <w:tcW w:type="dxa" w:w="1728"/>
          </w:tcPr>
          <w:p>
            <w:r>
              <w:t>[ ]</w:t>
            </w:r>
          </w:p>
        </w:tc>
        <w:tc>
          <w:tcPr>
            <w:tcW w:type="dxa" w:w="1728"/>
          </w:tcPr>
          <w:p>
            <w:r>
              <w:t>[ ]</w:t>
            </w:r>
          </w:p>
        </w:tc>
        <w:tc>
          <w:tcPr>
            <w:tcW w:type="dxa" w:w="1728"/>
          </w:tcPr>
          <w:p>
            <w:r>
              <w:t>[ ]</w:t>
            </w:r>
          </w:p>
        </w:tc>
        <w:tc>
          <w:tcPr>
            <w:tcW w:type="dxa" w:w="1728"/>
          </w:tcPr>
          <w:p>
            <w:r>
              <w:t>[ ]</w:t>
            </w:r>
          </w:p>
        </w:tc>
      </w:tr>
    </w:tbl>
    <w:p>
      <w:pPr>
        <w:pStyle w:val="ListBullet"/>
      </w:pPr>
      <w:r>
        <w:t>Handling of uncertain or unreadable items: [ ]</w:t>
      </w:r>
    </w:p>
    <w:p>
      <w:pPr>
        <w:pStyle w:val="ListBullet"/>
      </w:pPr>
      <w:r>
        <w:t>Tool and export format: [ ]</w:t>
      </w:r>
    </w:p>
    <w:p>
      <w:pPr>
        <w:pStyle w:val="Heading1"/>
      </w:pPr>
      <w:r>
        <w:t>7. Adjudication and agreement</w:t>
      </w:r>
    </w:p>
    <w:p>
      <w:pPr>
        <w:pStyle w:val="ListBullet"/>
      </w:pPr>
      <w:r>
        <w:t>Number of independent reads per item: [ ]</w:t>
      </w:r>
    </w:p>
    <w:p>
      <w:pPr>
        <w:pStyle w:val="ListBullet"/>
      </w:pPr>
      <w:r>
        <w:t>Disagreement rule (consensus, majority, adjudicator): [ ]</w:t>
      </w:r>
    </w:p>
    <w:p>
      <w:pPr>
        <w:pStyle w:val="ListBullet"/>
      </w:pPr>
      <w:r>
        <w:t>Agreement statistic and target, and how often it is measured: [ ]</w:t>
      </w:r>
    </w:p>
    <w:p>
      <w:pPr>
        <w:pStyle w:val="Heading1"/>
      </w:pPr>
      <w:r>
        <w:t>8. Quality control</w:t>
      </w:r>
    </w:p>
    <w:p>
      <w:pPr>
        <w:pStyle w:val="ListBullet"/>
      </w:pPr>
      <w:r>
        <w:t>Audit sample size and frequency: [ ]</w:t>
      </w:r>
    </w:p>
    <w:p>
      <w:pPr>
        <w:pStyle w:val="ListBullet"/>
      </w:pPr>
      <w:r>
        <w:t>Error categories tracked: [ ]</w:t>
      </w:r>
    </w:p>
    <w:p>
      <w:pPr>
        <w:pStyle w:val="ListBullet"/>
      </w:pPr>
      <w:r>
        <w:t>Re-training trigger: [ ]</w:t>
      </w:r>
    </w:p>
    <w:p>
      <w:pPr>
        <w:pStyle w:val="ListBullet"/>
      </w:pPr>
      <w:r>
        <w:t>Change log for guideline versions: [ ]</w:t>
      </w:r>
    </w:p>
    <w:p>
      <w:pPr>
        <w:pStyle w:val="Heading1"/>
      </w:pPr>
      <w:r>
        <w:t>9. Reporting</w:t>
      </w:r>
    </w:p>
    <w:p>
      <w:r>
        <w:t>Check what the applicable reporting guideline asks authors to report about ground truth and annotation:</w:t>
      </w:r>
    </w:p>
    <w:p>
      <w:pPr>
        <w:pStyle w:val="ListBullet"/>
      </w:pPr>
      <w:r>
        <w:t>CLAIM (imaging AI): Mongan J et al., Radiol Artif Intell 2020; 2024 Update, Tejani AS et al.</w:t>
      </w:r>
    </w:p>
    <w:p>
      <w:pPr>
        <w:pStyle w:val="ListBullet"/>
      </w:pPr>
      <w:r>
        <w:t>TRIPOD+AI (prediction models): Collins GS et al., BMJ 2024.</w:t>
      </w:r>
    </w:p>
    <w:p>
      <w:pPr>
        <w:pStyle w:val="ListBullet"/>
      </w:pPr>
      <w:r>
        <w:t>STARD-AI (diagnostic accuracy): Sounderajah V et al., Nat Med 2025, and its 2026 author correction.</w:t>
      </w:r>
    </w:p>
    <w:p>
      <w:pPr>
        <w:pStyle w:val="Heading1"/>
      </w:pPr>
      <w:r>
        <w:t>Sources</w:t>
      </w:r>
    </w:p>
    <w:p>
      <w:pPr>
        <w:pStyle w:val="ListBullet"/>
      </w:pPr>
      <w:r>
        <w:t>FDA, Good Machine Learning Practice for Medical Device Development: Guiding Principles. https://www.fda.gov/medical-devices/artificial-intelligence-enabled-medical-devices/good-machine-learning-practice-medical-device-development-guiding-principles</w:t>
      </w:r>
    </w:p>
    <w:p>
      <w:pPr>
        <w:pStyle w:val="ListBullet"/>
      </w:pPr>
      <w:r>
        <w:t>FDA slide deck reproducing the 2021 principles. https://www.fda.gov/media/160125/download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